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51382" w:rsidRPr="00D7305C" w:rsidRDefault="00751382" w:rsidP="0087578C">
      <w:pPr>
        <w:ind w:firstLine="245"/>
        <w:rPr>
          <w:lang w:val="en-MY"/>
        </w:rPr>
      </w:pPr>
    </w:p>
    <w:p w:rsidR="00E164E4" w:rsidRPr="004165BF" w:rsidRDefault="00E164E4" w:rsidP="004165BF">
      <w:pPr>
        <w:pStyle w:val="Heading1"/>
      </w:pPr>
      <w:r>
        <w:t>3. M</w:t>
      </w:r>
      <w:r w:rsidR="00CB360B">
        <w:t>ethodology</w:t>
      </w: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2A4A98">
      <w:pPr>
        <w:pStyle w:val="Heading2"/>
        <w:jc w:val="left"/>
      </w:pPr>
      <w:r>
        <w:rPr>
          <w:noProof/>
        </w:rPr>
        <w:drawing>
          <wp:inline distT="0" distB="0" distL="0" distR="0" wp14:anchorId="6BD649C5" wp14:editId="16D8F471">
            <wp:extent cx="2779185" cy="2036445"/>
            <wp:effectExtent l="0" t="0" r="254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1176" cy="2059886"/>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ED3E8B" w:rsidP="00CD6280">
      <w:pPr>
        <w:pStyle w:val="Heading2"/>
      </w:pPr>
      <w:r>
        <w:t>3.1. Business understating</w:t>
      </w:r>
    </w:p>
    <w:p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rsidR="002A4A98" w:rsidRPr="002A4A98" w:rsidRDefault="00CD6280" w:rsidP="00ED3E8B">
      <w:pPr>
        <w:pStyle w:val="Heading2"/>
      </w:pPr>
      <w:r>
        <w:t>3.</w:t>
      </w:r>
      <w:r w:rsidR="00ED3E8B">
        <w:t>2</w:t>
      </w:r>
      <w:r>
        <w:t xml:space="preserve">. </w:t>
      </w:r>
      <w:r w:rsidR="00A62193">
        <w:t>Data</w:t>
      </w:r>
      <w:r w:rsidR="003A55F6">
        <w:t xml:space="preserve"> </w:t>
      </w:r>
      <w:r w:rsidR="00A31FFF">
        <w:t>set</w:t>
      </w:r>
    </w:p>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2A4A98">
        <w:instrText>ADDIN CSL_CITATION {"citationItems":[{"id":"ITEM-1","itemData":{"URL":"https://www.kaggle.com/borapajo/food-choices","id":"ITEM-1","issued":{"date-parts":[["0"]]},"title":"Food choices | Kaggle","type":"webpage"},"uris":["http://www.mendeley.com/documents/?uuid=fa0e5eb1-5446-3f58-b689-b554f19fbc7f"]}],"mendeley":{"formattedCitation":"[4]","plainTextFormattedCitation":"[4]","previously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1A6E11" w:rsidRDefault="001A6E11" w:rsidP="00D12A89">
      <w:pPr>
        <w:ind w:firstLine="245"/>
      </w:pPr>
    </w:p>
    <w:p w:rsidR="001A6E11" w:rsidRDefault="001A6E11" w:rsidP="001A6E11">
      <w:pPr>
        <w:keepNext/>
        <w:ind w:firstLine="245"/>
      </w:pPr>
      <w:r>
        <w:rPr>
          <w:noProof/>
        </w:rPr>
        <w:drawing>
          <wp:inline distT="0" distB="0" distL="0" distR="0">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rsidR="00994487" w:rsidRDefault="001A6E11" w:rsidP="00ED3E8B">
      <w:pPr>
        <w:pStyle w:val="Caption"/>
        <w:jc w:val="center"/>
      </w:pPr>
      <w:r>
        <w:t xml:space="preserve">Fig. </w:t>
      </w:r>
      <w:r>
        <w:fldChar w:fldCharType="begin"/>
      </w:r>
      <w:r>
        <w:instrText xml:space="preserve"> SEQ Fig. \* ARABIC </w:instrText>
      </w:r>
      <w:r>
        <w:fldChar w:fldCharType="separate"/>
      </w:r>
      <w:r w:rsidR="00685DC2">
        <w:rPr>
          <w:noProof/>
        </w:rPr>
        <w:t>1</w:t>
      </w:r>
      <w:r>
        <w:fldChar w:fldCharType="end"/>
      </w:r>
      <w:r>
        <w:t xml:space="preserve"> Visualization of some data set attributes</w:t>
      </w:r>
    </w:p>
    <w:p w:rsidR="00994487" w:rsidRDefault="00994487" w:rsidP="00994487"/>
    <w:p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p>
    <w:p w:rsidR="00977C7B" w:rsidRPr="00977C7B" w:rsidRDefault="00977C7B" w:rsidP="00977C7B"/>
    <w:p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2A4A98">
        <w:instrText>ADDIN CSL_CITATION {"citationItems":[{"id":"ITEM-1","itemData":{"URL":"http://stanford.edu/~cpiech/cs221/handouts/kmeans.html","id":"ITEM-1","issued":{"date-parts":[["0"]]},"title":"K-Means","type":"webpage"},"uris":["http://www.mendeley.com/documents/?uuid=8cb55fd9-cb16-3350-87a6-6aa39952773e"]}],"mendeley":{"formattedCitation":"[5]","plainTextFormattedCitation":"[5]"},"properties":{"noteIndex":0},"schema":"https://github.com/citation-style-language/schema/raw/master/csl-citation.json"}</w:instrText>
      </w:r>
      <w:r w:rsidR="002A4A98">
        <w:fldChar w:fldCharType="separate"/>
      </w:r>
      <w:r w:rsidR="002A4A98" w:rsidRPr="002A4A98">
        <w:rPr>
          <w:noProof/>
        </w:rPr>
        <w:t>[5]</w:t>
      </w:r>
      <w:r w:rsidR="002A4A98">
        <w:fldChar w:fldCharType="end"/>
      </w:r>
      <w:r>
        <w:t xml:space="preserve">. </w:t>
      </w:r>
      <w:r w:rsidRPr="00DD185E">
        <w:t xml:space="preserve">A </w:t>
      </w:r>
      <w:r w:rsidRPr="00DD185E">
        <w:lastRenderedPageBreak/>
        <w:t>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w:t>
      </w:r>
      <w:r w:rsidR="001A6E11">
        <w:rPr>
          <w:lang w:val="en-MY"/>
        </w:rPr>
        <w:t>2.</w:t>
      </w:r>
    </w:p>
    <w:p w:rsidR="007904C1" w:rsidRDefault="007904C1" w:rsidP="00DD185E">
      <w:pPr>
        <w:pStyle w:val="BodyTextIndent"/>
        <w:rPr>
          <w:lang w:val="en-MY"/>
        </w:rPr>
      </w:pPr>
    </w:p>
    <w:p w:rsidR="001A6E11" w:rsidRDefault="001A6E11" w:rsidP="00DD185E">
      <w:pPr>
        <w:pStyle w:val="BodyTextIndent"/>
        <w:rPr>
          <w:lang w:val="en-MY"/>
        </w:rPr>
      </w:pPr>
    </w:p>
    <w:p w:rsidR="00C248AE" w:rsidRDefault="00DD185E" w:rsidP="001A6E11">
      <w:pPr>
        <w:pStyle w:val="BodyTextIndent"/>
        <w:keepNext/>
        <w:ind w:right="196"/>
      </w:pPr>
      <w:r>
        <w:rPr>
          <w:noProof/>
        </w:rPr>
        <w:drawing>
          <wp:inline distT="0" distB="0" distL="0" distR="0">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685DC2">
        <w:rPr>
          <w:noProof/>
        </w:rPr>
        <w:t>2</w:t>
      </w:r>
      <w:r>
        <w:fldChar w:fldCharType="end"/>
      </w:r>
      <w:r>
        <w:t xml:space="preserve"> K-Means Visualization</w:t>
      </w:r>
    </w:p>
    <w:p w:rsidR="003C78BE" w:rsidRDefault="003C78BE" w:rsidP="003C78BE">
      <w:pPr>
        <w:pStyle w:val="BodyTextIndent"/>
        <w:ind w:firstLine="0"/>
      </w:pPr>
    </w:p>
    <w:p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p>
    <w:p w:rsidR="00697F3A" w:rsidRDefault="00697F3A" w:rsidP="002175D9">
      <w:pPr>
        <w:ind w:firstLine="284"/>
      </w:pPr>
    </w:p>
    <w:p w:rsidR="00697F3A" w:rsidRDefault="00697F3A" w:rsidP="00697F3A">
      <w:pPr>
        <w:pStyle w:val="Heading1"/>
        <w:rPr>
          <w:sz w:val="20"/>
        </w:rPr>
      </w:pPr>
      <w:r w:rsidRPr="00697F3A">
        <w:rPr>
          <w:sz w:val="20"/>
        </w:rPr>
        <w:t>3.4.</w:t>
      </w:r>
      <w:r w:rsidRPr="00697F3A">
        <w:rPr>
          <w:sz w:val="20"/>
        </w:rPr>
        <w:t>1</w:t>
      </w:r>
      <w:r w:rsidR="00057F78">
        <w:rPr>
          <w:sz w:val="20"/>
        </w:rPr>
        <w:t xml:space="preserve">. </w:t>
      </w:r>
      <w:r w:rsidRPr="00697F3A">
        <w:rPr>
          <w:sz w:val="20"/>
        </w:rPr>
        <w:t xml:space="preserve"> Elbow Method</w:t>
      </w:r>
    </w:p>
    <w:p w:rsidR="00697F3A" w:rsidRDefault="00697F3A" w:rsidP="00697F3A">
      <w:pPr>
        <w:ind w:firstLine="284"/>
      </w:pPr>
      <w:r>
        <w:t>Elbow method helps to find out what a good k number of clusters based on the sum of squared distance (SSE) as shown in Fig.4.</w:t>
      </w:r>
    </w:p>
    <w:p w:rsidR="00697F3A" w:rsidRDefault="00697F3A" w:rsidP="00697F3A">
      <w:pPr>
        <w:ind w:firstLine="284"/>
      </w:pPr>
    </w:p>
    <w:p w:rsidR="004415A3" w:rsidRDefault="00697F3A" w:rsidP="004415A3">
      <w:pPr>
        <w:keepNext/>
        <w:ind w:firstLine="284"/>
      </w:pPr>
      <w:r>
        <w:rPr>
          <w:noProof/>
        </w:rPr>
        <w:drawing>
          <wp:inline distT="0" distB="0" distL="0" distR="0">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rsidR="004415A3" w:rsidRDefault="004415A3" w:rsidP="004415A3">
      <w:pPr>
        <w:keepNext/>
        <w:ind w:firstLine="284"/>
      </w:pPr>
    </w:p>
    <w:p w:rsidR="00697F3A" w:rsidRDefault="004415A3" w:rsidP="004415A3">
      <w:pPr>
        <w:pStyle w:val="Caption"/>
        <w:jc w:val="center"/>
      </w:pPr>
      <w:r>
        <w:t xml:space="preserve">Fig. </w:t>
      </w:r>
      <w:r>
        <w:fldChar w:fldCharType="begin"/>
      </w:r>
      <w:r>
        <w:instrText xml:space="preserve"> SEQ Fig. \* ARABIC </w:instrText>
      </w:r>
      <w:r>
        <w:fldChar w:fldCharType="separate"/>
      </w:r>
      <w:r w:rsidR="00685DC2">
        <w:rPr>
          <w:noProof/>
        </w:rPr>
        <w:t>3</w:t>
      </w:r>
      <w:r>
        <w:fldChar w:fldCharType="end"/>
      </w:r>
      <w:r>
        <w:t xml:space="preserve"> </w:t>
      </w:r>
      <w:r w:rsidRPr="000A7AE0">
        <w:t>Elbow Method</w:t>
      </w:r>
    </w:p>
    <w:p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rsidR="00697F3A" w:rsidRDefault="00697F3A" w:rsidP="002175D9">
      <w:pPr>
        <w:ind w:firstLine="284"/>
      </w:pPr>
    </w:p>
    <w:p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rsidR="00685DC2" w:rsidRDefault="00685DC2" w:rsidP="00057F78">
      <w:pPr>
        <w:ind w:firstLine="284"/>
      </w:pPr>
    </w:p>
    <w:p w:rsidR="00685DC2" w:rsidRDefault="00685DC2" w:rsidP="00685DC2">
      <w:pPr>
        <w:keepNext/>
        <w:ind w:firstLine="284"/>
      </w:pPr>
      <w:bookmarkStart w:id="0" w:name="_GoBack"/>
      <w:r>
        <w:rPr>
          <w:noProof/>
        </w:rPr>
        <w:drawing>
          <wp:inline distT="0" distB="0" distL="0" distR="0">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bookmarkEnd w:id="0"/>
    </w:p>
    <w:p w:rsidR="00685DC2" w:rsidRDefault="00685DC2" w:rsidP="00685DC2">
      <w:pPr>
        <w:pStyle w:val="Caption"/>
      </w:pPr>
    </w:p>
    <w:p w:rsidR="00057F78" w:rsidRDefault="00685DC2" w:rsidP="00685DC2">
      <w:pPr>
        <w:pStyle w:val="Caption"/>
        <w:jc w:val="center"/>
      </w:pPr>
      <w:r>
        <w:t xml:space="preserve">Fig. </w:t>
      </w:r>
      <w:r>
        <w:fldChar w:fldCharType="begin"/>
      </w:r>
      <w:r>
        <w:instrText xml:space="preserve"> SEQ Fig. \* ARABIC </w:instrText>
      </w:r>
      <w:r>
        <w:fldChar w:fldCharType="separate"/>
      </w:r>
      <w:r>
        <w:rPr>
          <w:noProof/>
        </w:rPr>
        <w:t>4</w:t>
      </w:r>
      <w:r>
        <w:fldChar w:fldCharType="end"/>
      </w:r>
      <w:r>
        <w:t xml:space="preserve"> </w:t>
      </w:r>
      <w:r w:rsidRPr="00210E5C">
        <w:t>Silhouette Analysis</w:t>
      </w:r>
    </w:p>
    <w:p w:rsidR="004B1BC8" w:rsidRPr="004B1BC8" w:rsidRDefault="002175D9" w:rsidP="002175D9">
      <w:pPr>
        <w:ind w:firstLine="284"/>
      </w:pPr>
      <w:r>
        <w:lastRenderedPageBreak/>
        <w:t xml:space="preserve"> </w:t>
      </w:r>
    </w:p>
    <w:p w:rsidR="004B1BC8" w:rsidRDefault="004B1BC8" w:rsidP="004F02B8">
      <w:pPr>
        <w:pStyle w:val="Heading1"/>
      </w:pPr>
    </w:p>
    <w:p w:rsidR="004B1BC8" w:rsidRDefault="004B1BC8" w:rsidP="004F02B8">
      <w:pPr>
        <w:pStyle w:val="Heading1"/>
      </w:pPr>
    </w:p>
    <w:p w:rsidR="004F02B8" w:rsidRDefault="004F02B8" w:rsidP="004F02B8">
      <w:pPr>
        <w:pStyle w:val="Heading1"/>
      </w:pPr>
      <w:r>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p>
    <w:p w:rsidR="00901242" w:rsidRPr="00901242" w:rsidRDefault="00901242" w:rsidP="00901242"/>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2A4A98" w:rsidRPr="002A4A98" w:rsidRDefault="00EF08FA" w:rsidP="002A4A98">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2A4A98" w:rsidRPr="002A4A98">
        <w:rPr>
          <w:noProof/>
        </w:rPr>
        <w:t>[1]</w:t>
      </w:r>
      <w:r w:rsidR="002A4A98" w:rsidRPr="002A4A98">
        <w:rPr>
          <w:noProof/>
        </w:rPr>
        <w:tab/>
        <w:t xml:space="preserve">K. Ishizaka and J. L. Flanagan, “Synthesis of Voiced Sounds From a Two‐Mass Model of the Vocal Cords,” </w:t>
      </w:r>
      <w:r w:rsidR="002A4A98" w:rsidRPr="002A4A98">
        <w:rPr>
          <w:i/>
          <w:iCs/>
          <w:noProof/>
        </w:rPr>
        <w:t>Bell Syst. Tech. J.</w:t>
      </w:r>
      <w:r w:rsidR="002A4A98" w:rsidRPr="002A4A98">
        <w:rPr>
          <w:noProof/>
        </w:rPr>
        <w:t>, 1972.</w:t>
      </w:r>
    </w:p>
    <w:p w:rsidR="002A4A98" w:rsidRPr="002A4A98" w:rsidRDefault="002A4A98" w:rsidP="002A4A98">
      <w:pPr>
        <w:widowControl w:val="0"/>
        <w:autoSpaceDE w:val="0"/>
        <w:autoSpaceDN w:val="0"/>
        <w:adjustRightInd w:val="0"/>
        <w:ind w:left="640" w:hanging="640"/>
        <w:rPr>
          <w:noProof/>
        </w:rPr>
      </w:pPr>
      <w:r w:rsidRPr="002A4A98">
        <w:rPr>
          <w:noProof/>
        </w:rPr>
        <w:t>[2]</w:t>
      </w:r>
      <w:r w:rsidRPr="002A4A98">
        <w:rPr>
          <w:noProof/>
        </w:rPr>
        <w:tab/>
        <w:t xml:space="preserve">P. Bao, A. I. Maqueda, C. R. Del-Blanco, and N. Garciá, “Tiny hand gesture recognition without localization via a deep convolutional network,” </w:t>
      </w:r>
      <w:r w:rsidRPr="002A4A98">
        <w:rPr>
          <w:i/>
          <w:iCs/>
          <w:noProof/>
        </w:rPr>
        <w:t>IEEE Trans. Consum. Electron.</w:t>
      </w:r>
      <w:r w:rsidRPr="002A4A98">
        <w:rPr>
          <w:noProof/>
        </w:rPr>
        <w:t>, vol. 63, no. 3, pp. 251–257, 2017.</w:t>
      </w:r>
    </w:p>
    <w:p w:rsidR="002A4A98" w:rsidRPr="002A4A98" w:rsidRDefault="002A4A98" w:rsidP="002A4A98">
      <w:pPr>
        <w:widowControl w:val="0"/>
        <w:autoSpaceDE w:val="0"/>
        <w:autoSpaceDN w:val="0"/>
        <w:adjustRightInd w:val="0"/>
        <w:ind w:left="640" w:hanging="640"/>
        <w:rPr>
          <w:noProof/>
        </w:rPr>
      </w:pPr>
      <w:r w:rsidRPr="002A4A98">
        <w:rPr>
          <w:noProof/>
        </w:rPr>
        <w:t>[3]</w:t>
      </w:r>
      <w:r w:rsidRPr="002A4A98">
        <w:rPr>
          <w:noProof/>
        </w:rPr>
        <w:tab/>
        <w:t xml:space="preserve">J. Pyo, S. Ji, S. You, and T. Kuc, “Depth-based hand gesture recognition using convolutional neural networks,” in </w:t>
      </w:r>
      <w:r w:rsidRPr="002A4A98">
        <w:rPr>
          <w:i/>
          <w:iCs/>
          <w:noProof/>
        </w:rPr>
        <w:t>2016 13th International Conference on Ubiquitous Robots and Ambient Intelligence, URAI 2016</w:t>
      </w:r>
      <w:r w:rsidRPr="002A4A98">
        <w:rPr>
          <w:noProof/>
        </w:rPr>
        <w:t>, 2016.</w:t>
      </w:r>
    </w:p>
    <w:p w:rsidR="002A4A98" w:rsidRPr="002A4A98" w:rsidRDefault="002A4A98" w:rsidP="002A4A98">
      <w:pPr>
        <w:widowControl w:val="0"/>
        <w:autoSpaceDE w:val="0"/>
        <w:autoSpaceDN w:val="0"/>
        <w:adjustRightInd w:val="0"/>
        <w:ind w:left="640" w:hanging="640"/>
        <w:rPr>
          <w:noProof/>
        </w:rPr>
      </w:pPr>
      <w:r w:rsidRPr="002A4A98">
        <w:rPr>
          <w:noProof/>
        </w:rPr>
        <w:t>[4]</w:t>
      </w:r>
      <w:r w:rsidRPr="002A4A98">
        <w:rPr>
          <w:noProof/>
        </w:rPr>
        <w:tab/>
        <w:t>“Food choices | Kaggle.” [Online]. Available: https://www.kaggle.com/borapajo/food-choices.</w:t>
      </w:r>
    </w:p>
    <w:p w:rsidR="002A4A98" w:rsidRPr="002A4A98" w:rsidRDefault="002A4A98" w:rsidP="002A4A98">
      <w:pPr>
        <w:widowControl w:val="0"/>
        <w:autoSpaceDE w:val="0"/>
        <w:autoSpaceDN w:val="0"/>
        <w:adjustRightInd w:val="0"/>
        <w:ind w:left="640" w:hanging="640"/>
        <w:rPr>
          <w:noProof/>
        </w:rPr>
      </w:pPr>
      <w:r w:rsidRPr="002A4A98">
        <w:rPr>
          <w:noProof/>
        </w:rPr>
        <w:t>[5]</w:t>
      </w:r>
      <w:r w:rsidRPr="002A4A98">
        <w:rPr>
          <w:noProof/>
        </w:rPr>
        <w:tab/>
        <w:t>“K-Means.” [Online]. Available: http://stanford.edu/~cpiech/cs221/handouts/kmeans.html.</w:t>
      </w:r>
    </w:p>
    <w:p w:rsidR="002A4A98" w:rsidRPr="002A4A98" w:rsidRDefault="002A4A98" w:rsidP="002A4A98">
      <w:pPr>
        <w:widowControl w:val="0"/>
        <w:autoSpaceDE w:val="0"/>
        <w:autoSpaceDN w:val="0"/>
        <w:adjustRightInd w:val="0"/>
        <w:ind w:left="640" w:hanging="640"/>
        <w:rPr>
          <w:noProof/>
        </w:rPr>
      </w:pPr>
      <w:r w:rsidRPr="002A4A98">
        <w:rPr>
          <w:noProof/>
        </w:rPr>
        <w:t>[6]</w:t>
      </w:r>
      <w:r w:rsidRPr="002A4A98">
        <w:rPr>
          <w:noProof/>
        </w:rPr>
        <w:tab/>
        <w:t>“TensorFlow | Object_detection.” [Online]. Available: https://github.com/tensorflow/models/tree/master/research/object_detection.</w:t>
      </w:r>
    </w:p>
    <w:p w:rsidR="002A4A98" w:rsidRPr="002A4A98" w:rsidRDefault="002A4A98" w:rsidP="002A4A98">
      <w:pPr>
        <w:widowControl w:val="0"/>
        <w:autoSpaceDE w:val="0"/>
        <w:autoSpaceDN w:val="0"/>
        <w:adjustRightInd w:val="0"/>
        <w:ind w:left="640" w:hanging="640"/>
        <w:rPr>
          <w:noProof/>
        </w:rPr>
      </w:pPr>
      <w:r w:rsidRPr="002A4A98">
        <w:rPr>
          <w:noProof/>
        </w:rPr>
        <w:t>[7]</w:t>
      </w:r>
      <w:r w:rsidRPr="002A4A98">
        <w:rPr>
          <w:noProof/>
        </w:rPr>
        <w:tab/>
        <w:t>“MobileNet-SSD | Architecture.” [Online]. Available: https://hey-yahei.cn/2018/08/08/MobileNets-SSD/index.html.</w:t>
      </w:r>
    </w:p>
    <w:p w:rsidR="002A4A98" w:rsidRPr="002A4A98" w:rsidRDefault="002A4A98" w:rsidP="002A4A98">
      <w:pPr>
        <w:widowControl w:val="0"/>
        <w:autoSpaceDE w:val="0"/>
        <w:autoSpaceDN w:val="0"/>
        <w:adjustRightInd w:val="0"/>
        <w:ind w:left="640" w:hanging="640"/>
        <w:rPr>
          <w:noProof/>
        </w:rPr>
      </w:pPr>
      <w:r w:rsidRPr="002A4A98">
        <w:rPr>
          <w:noProof/>
        </w:rPr>
        <w:t>[8]</w:t>
      </w:r>
      <w:r w:rsidRPr="002A4A98">
        <w:rPr>
          <w:noProof/>
        </w:rPr>
        <w:tab/>
        <w:t xml:space="preserve">A. G. Howard </w:t>
      </w:r>
      <w:r w:rsidRPr="002A4A98">
        <w:rPr>
          <w:i/>
          <w:iCs/>
          <w:noProof/>
        </w:rPr>
        <w:t>et al.</w:t>
      </w:r>
      <w:r w:rsidRPr="002A4A98">
        <w:rPr>
          <w:noProof/>
        </w:rPr>
        <w:t xml:space="preserve">, “MobileNets,” </w:t>
      </w:r>
      <w:r w:rsidRPr="002A4A98">
        <w:rPr>
          <w:i/>
          <w:iCs/>
          <w:noProof/>
        </w:rPr>
        <w:t>arXiv Prepr. arXiv1704.04861</w:t>
      </w:r>
      <w:r w:rsidRPr="002A4A98">
        <w:rPr>
          <w:noProof/>
        </w:rPr>
        <w:t>, 2017.</w:t>
      </w:r>
    </w:p>
    <w:p w:rsidR="002A4A98" w:rsidRPr="002A4A98" w:rsidRDefault="002A4A98" w:rsidP="002A4A98">
      <w:pPr>
        <w:widowControl w:val="0"/>
        <w:autoSpaceDE w:val="0"/>
        <w:autoSpaceDN w:val="0"/>
        <w:adjustRightInd w:val="0"/>
        <w:ind w:left="640" w:hanging="640"/>
        <w:rPr>
          <w:noProof/>
        </w:rPr>
      </w:pPr>
      <w:r w:rsidRPr="002A4A98">
        <w:rPr>
          <w:noProof/>
        </w:rPr>
        <w:t>[9]</w:t>
      </w:r>
      <w:r w:rsidRPr="002A4A98">
        <w:rPr>
          <w:noProof/>
        </w:rPr>
        <w:tab/>
        <w:t xml:space="preserve">W. Liu </w:t>
      </w:r>
      <w:r w:rsidRPr="002A4A98">
        <w:rPr>
          <w:i/>
          <w:iCs/>
          <w:noProof/>
        </w:rPr>
        <w:t>et al.</w:t>
      </w:r>
      <w:r w:rsidRPr="002A4A98">
        <w:rPr>
          <w:noProof/>
        </w:rPr>
        <w:t xml:space="preserve">, “SSD: Single shot multibox detector,” in </w:t>
      </w:r>
      <w:r w:rsidRPr="002A4A98">
        <w:rPr>
          <w:i/>
          <w:iCs/>
          <w:noProof/>
        </w:rPr>
        <w:t xml:space="preserve">Lecture Notes in Computer Science (including subseries Lecture Notes in Artificial </w:t>
      </w:r>
      <w:r w:rsidRPr="002A4A98">
        <w:rPr>
          <w:i/>
          <w:iCs/>
          <w:noProof/>
        </w:rPr>
        <w:t>Intelligence and Lecture Notes in Bioinformatics)</w:t>
      </w:r>
      <w:r w:rsidRPr="002A4A98">
        <w:rPr>
          <w:noProof/>
        </w:rPr>
        <w:t>, 2016.</w:t>
      </w:r>
    </w:p>
    <w:p w:rsidR="006521C4" w:rsidRPr="006521C4" w:rsidRDefault="00EF08FA" w:rsidP="002A4A98">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5055" w:rsidRDefault="003B5055" w:rsidP="009C1D3A">
      <w:r>
        <w:separator/>
      </w:r>
    </w:p>
  </w:endnote>
  <w:endnote w:type="continuationSeparator" w:id="0">
    <w:p w:rsidR="003B5055" w:rsidRDefault="003B5055"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7473D45-62D0-9844-A76E-67EAD47B7E3D}"/>
    <w:embedBold r:id="rId2" w:fontKey="{66FB43B6-CBC5-7445-9F4D-D43943EEA2E8}"/>
    <w:embedItalic r:id="rId3" w:fontKey="{470E310B-21F0-6646-8E67-BB479A041E7D}"/>
    <w:embedBoldItalic r:id="rId4" w:fontKey="{FD85EB8C-8733-D04A-B435-B75B5F1D6EF9}"/>
  </w:font>
  <w:font w:name="Calibri">
    <w:panose1 w:val="020F0502020204030204"/>
    <w:charset w:val="00"/>
    <w:family w:val="swiss"/>
    <w:pitch w:val="variable"/>
    <w:sig w:usb0="E0002AFF" w:usb1="C000ACFF" w:usb2="00000009" w:usb3="00000000" w:csb0="000001FF" w:csb1="00000000"/>
    <w:embedRegular r:id="rId5" w:fontKey="{2C54BBE1-D90B-2842-B73A-186733E374B3}"/>
    <w:embedBold r:id="rId6" w:fontKey="{A3541099-70E4-A247-B1D9-2A5A8EFD7608}"/>
    <w:embedBoldItalic r:id="rId7" w:fontKey="{61E0704B-9A49-444A-87B8-245E878A0ACB}"/>
  </w:font>
  <w:font w:name="Arial">
    <w:panose1 w:val="020B0604020202020204"/>
    <w:charset w:val="00"/>
    <w:family w:val="swiss"/>
    <w:pitch w:val="variable"/>
    <w:sig w:usb0="E0002AFF" w:usb1="C0007843" w:usb2="00000009" w:usb3="00000000" w:csb0="000001FF" w:csb1="00000000"/>
    <w:embedRegular r:id="rId8" w:fontKey="{7D527E00-9FCD-7340-BED8-216D45626AAD}"/>
    <w:embedBold r:id="rId9" w:fontKey="{89814447-8EED-FE44-BE03-173ABD62AAB0}"/>
    <w:embedBoldItalic r:id="rId10" w:fontKey="{54A11796-84CC-4D49-B3DC-7C887EC0EEA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B776DB1F-D18A-B04F-AF0B-32A762F760E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5055" w:rsidRDefault="003B5055" w:rsidP="009C1D3A">
      <w:r>
        <w:separator/>
      </w:r>
    </w:p>
  </w:footnote>
  <w:footnote w:type="continuationSeparator" w:id="0">
    <w:p w:rsidR="003B5055" w:rsidRDefault="003B5055"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A6E11"/>
    <w:rsid w:val="001C7A71"/>
    <w:rsid w:val="001D02BC"/>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B5055"/>
    <w:rsid w:val="003C2FBF"/>
    <w:rsid w:val="003C78BE"/>
    <w:rsid w:val="00407691"/>
    <w:rsid w:val="004113A4"/>
    <w:rsid w:val="004165BF"/>
    <w:rsid w:val="00421A3A"/>
    <w:rsid w:val="00434FEF"/>
    <w:rsid w:val="00440D6D"/>
    <w:rsid w:val="004415A3"/>
    <w:rsid w:val="00454741"/>
    <w:rsid w:val="004721A5"/>
    <w:rsid w:val="004726E1"/>
    <w:rsid w:val="00473C1D"/>
    <w:rsid w:val="00484EF8"/>
    <w:rsid w:val="0048775C"/>
    <w:rsid w:val="004B1BC8"/>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85DC2"/>
    <w:rsid w:val="00696E1A"/>
    <w:rsid w:val="00697F3A"/>
    <w:rsid w:val="006B46EC"/>
    <w:rsid w:val="006B6F19"/>
    <w:rsid w:val="006D4D13"/>
    <w:rsid w:val="00700A09"/>
    <w:rsid w:val="0071669C"/>
    <w:rsid w:val="00744FBC"/>
    <w:rsid w:val="00751382"/>
    <w:rsid w:val="007569F0"/>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9B65-9965-7745-BFDC-14C2014A5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Pages>
  <Words>2556</Words>
  <Characters>14574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27</cp:revision>
  <cp:lastPrinted>2019-04-03T19:00:00Z</cp:lastPrinted>
  <dcterms:created xsi:type="dcterms:W3CDTF">2019-04-03T19:00:00Z</dcterms:created>
  <dcterms:modified xsi:type="dcterms:W3CDTF">2019-05-03T18:19:00Z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